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5E8D7" w14:textId="44D94D4C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Stanisł</w:t>
      </w:r>
      <w:r w:rsidR="00274C41">
        <w:rPr>
          <w:rFonts w:eastAsia="Times New Roman" w:cs="Arial"/>
          <w:b/>
          <w:color w:val="323E4F"/>
          <w:szCs w:val="24"/>
          <w:lang w:val="it-IT" w:eastAsia="fr-FR"/>
        </w:rPr>
        <w:t>aw</w:t>
      </w:r>
      <w:proofErr w:type="spellEnd"/>
      <w:r w:rsidR="00274C41">
        <w:rPr>
          <w:rFonts w:eastAsia="Times New Roman" w:cs="Arial"/>
          <w:b/>
          <w:color w:val="323E4F"/>
          <w:szCs w:val="24"/>
          <w:lang w:val="it-IT" w:eastAsia="fr-FR"/>
        </w:rPr>
        <w:t xml:space="preserve"> </w:t>
      </w:r>
      <w:proofErr w:type="spellStart"/>
      <w:r w:rsidR="00274C41">
        <w:rPr>
          <w:rFonts w:eastAsia="Times New Roman" w:cs="Arial"/>
          <w:b/>
          <w:color w:val="323E4F"/>
          <w:szCs w:val="24"/>
          <w:lang w:val="it-IT" w:eastAsia="fr-FR"/>
        </w:rPr>
        <w:t>Ignacy</w:t>
      </w:r>
      <w:proofErr w:type="spellEnd"/>
      <w:r w:rsidR="00274C41">
        <w:rPr>
          <w:rFonts w:eastAsia="Times New Roman" w:cs="Arial"/>
          <w:b/>
          <w:color w:val="323E4F"/>
          <w:szCs w:val="24"/>
          <w:lang w:val="it-IT" w:eastAsia="fr-FR"/>
        </w:rPr>
        <w:t xml:space="preserve"> </w:t>
      </w:r>
      <w:proofErr w:type="spellStart"/>
      <w:r w:rsidR="00274C41">
        <w:rPr>
          <w:rFonts w:eastAsia="Times New Roman" w:cs="Arial"/>
          <w:b/>
          <w:color w:val="323E4F"/>
          <w:szCs w:val="24"/>
          <w:lang w:val="it-IT" w:eastAsia="fr-FR"/>
        </w:rPr>
        <w:t>Witkiewicz</w:t>
      </w:r>
      <w:proofErr w:type="spellEnd"/>
      <w:r w:rsidR="00274C41">
        <w:rPr>
          <w:rFonts w:eastAsia="Times New Roman" w:cs="Arial"/>
          <w:b/>
          <w:color w:val="323E4F"/>
          <w:szCs w:val="24"/>
          <w:lang w:val="it-IT" w:eastAsia="fr-FR"/>
        </w:rPr>
        <w:t xml:space="preserve"> noto come </w:t>
      </w:r>
      <w:r>
        <w:rPr>
          <w:rFonts w:eastAsia="Times New Roman" w:cs="Arial"/>
          <w:b/>
          <w:color w:val="323E4F"/>
          <w:szCs w:val="24"/>
          <w:lang w:val="it-IT" w:eastAsia="fr-FR"/>
        </w:rPr>
        <w:t>„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Witkacy</w:t>
      </w:r>
      <w:proofErr w:type="spellEnd"/>
      <w:r>
        <w:rPr>
          <w:rFonts w:eastAsia="Times New Roman" w:cs="Arial"/>
          <w:b/>
          <w:color w:val="323E4F"/>
          <w:szCs w:val="24"/>
          <w:lang w:val="it-IT" w:eastAsia="fr-FR"/>
        </w:rPr>
        <w:t>”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(1885-1939) – scrittore, pittore, disegnatore, filosofo, drammaturgo</w:t>
      </w:r>
      <w:r w:rsidR="00274C41">
        <w:rPr>
          <w:rFonts w:eastAsia="Times New Roman" w:cs="Arial"/>
          <w:color w:val="323E4F"/>
          <w:szCs w:val="24"/>
          <w:lang w:val="it-IT" w:eastAsia="fr-FR"/>
        </w:rPr>
        <w:t xml:space="preserve"> e fotografo. Nel 1914 partecipò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con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Bronislaw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Malinowski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alla spedizione etnografica in Nuova </w:t>
      </w:r>
      <w:r w:rsidR="00274C41">
        <w:rPr>
          <w:rFonts w:eastAsia="Times New Roman" w:cs="Arial"/>
          <w:color w:val="323E4F"/>
          <w:szCs w:val="24"/>
          <w:lang w:val="it-IT" w:eastAsia="fr-FR"/>
        </w:rPr>
        <w:t>Guinea e al suo ritorno combatté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nella prima guerra mondiale come ufficiale dell’esercito ru</w:t>
      </w:r>
      <w:r w:rsidR="00274C41">
        <w:rPr>
          <w:rFonts w:eastAsia="Times New Roman" w:cs="Arial"/>
          <w:color w:val="323E4F"/>
          <w:szCs w:val="24"/>
          <w:lang w:val="it-IT" w:eastAsia="fr-FR"/>
        </w:rPr>
        <w:t>sso. È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stato pro</w:t>
      </w:r>
      <w:r w:rsidR="00274C41">
        <w:rPr>
          <w:rFonts w:eastAsia="Times New Roman" w:cs="Arial"/>
          <w:color w:val="323E4F"/>
          <w:szCs w:val="24"/>
          <w:lang w:val="it-IT" w:eastAsia="fr-FR"/>
        </w:rPr>
        <w:t>motore del modernismo polacco. È anche co–creatore del gruppo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</w:t>
      </w:r>
      <w:proofErr w:type="spellStart"/>
      <w:r>
        <w:rPr>
          <w:rFonts w:eastAsia="Times New Roman" w:cs="Arial"/>
          <w:i/>
          <w:color w:val="323E4F"/>
          <w:szCs w:val="24"/>
          <w:lang w:val="it-IT" w:eastAsia="fr-FR"/>
        </w:rPr>
        <w:t>Formiści</w:t>
      </w:r>
      <w:proofErr w:type="spellEnd"/>
      <w:r>
        <w:rPr>
          <w:rFonts w:eastAsia="Times New Roman" w:cs="Arial"/>
          <w:i/>
          <w:color w:val="323E4F"/>
          <w:szCs w:val="24"/>
          <w:lang w:val="it-IT" w:eastAsia="fr-FR"/>
        </w:rPr>
        <w:t xml:space="preserve">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(nome derivato dalla parola forma) operativo negli anni 1917 – 1922. Fu il primo gruppo d’avanguardia in Polonia. Da teorico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Witkacy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sviluppò la sua personale concezio</w:t>
      </w:r>
      <w:r>
        <w:rPr>
          <w:rFonts w:eastAsia="Times New Roman" w:cs="Arial"/>
          <w:color w:val="323E4F"/>
          <w:szCs w:val="24"/>
          <w:lang w:val="it-IT" w:eastAsia="fr-FR"/>
        </w:rPr>
        <w:t>ne della „Forma pura”. Sperimentò l’uso di narcotici nella produzio</w:t>
      </w:r>
      <w:r w:rsidR="00274C41">
        <w:rPr>
          <w:rFonts w:eastAsia="Times New Roman" w:cs="Arial"/>
          <w:color w:val="323E4F"/>
          <w:szCs w:val="24"/>
          <w:lang w:val="it-IT" w:eastAsia="fr-FR"/>
        </w:rPr>
        <w:t>ne artistica, ritratti sotto l’</w:t>
      </w:r>
      <w:r>
        <w:rPr>
          <w:rFonts w:eastAsia="Times New Roman" w:cs="Arial"/>
          <w:color w:val="323E4F"/>
          <w:szCs w:val="24"/>
          <w:lang w:val="it-IT" w:eastAsia="fr-FR"/>
        </w:rPr>
        <w:t>effetto d</w:t>
      </w:r>
      <w:r w:rsidR="00A16606">
        <w:rPr>
          <w:rFonts w:eastAsia="Times New Roman" w:cs="Arial"/>
          <w:color w:val="323E4F"/>
          <w:szCs w:val="24"/>
          <w:lang w:val="it-IT" w:eastAsia="fr-FR"/>
        </w:rPr>
        <w:t>elle sostanze più disparate. (</w:t>
      </w:r>
      <w:r w:rsidR="00A16606">
        <w:rPr>
          <w:rFonts w:eastAsia="Times New Roman" w:cs="Arial"/>
          <w:color w:val="323E4F"/>
          <w:szCs w:val="24"/>
          <w:lang w:val="it-IT" w:eastAsia="fr-FR"/>
        </w:rPr>
        <w:t>È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famosa la sua </w:t>
      </w:r>
      <w:r>
        <w:rPr>
          <w:rFonts w:eastAsia="Times New Roman" w:cs="Arial"/>
          <w:i/>
          <w:color w:val="323E4F"/>
          <w:szCs w:val="24"/>
          <w:lang w:val="it-IT" w:eastAsia="fr-FR"/>
        </w:rPr>
        <w:t>Ditta di Ritratti</w:t>
      </w:r>
      <w:r>
        <w:rPr>
          <w:rFonts w:eastAsia="Times New Roman" w:cs="Arial"/>
          <w:color w:val="323E4F"/>
          <w:szCs w:val="24"/>
          <w:lang w:val="it-IT" w:eastAsia="fr-FR"/>
        </w:rPr>
        <w:t>). I suoi romanzi più noti sono “</w:t>
      </w:r>
      <w:r>
        <w:rPr>
          <w:rFonts w:eastAsia="Times New Roman" w:cs="Arial"/>
          <w:i/>
          <w:color w:val="323E4F"/>
          <w:szCs w:val="24"/>
          <w:lang w:val="it-IT" w:eastAsia="fr-FR"/>
        </w:rPr>
        <w:t>Insaziabilità”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</w:t>
      </w:r>
      <w:proofErr w:type="gramStart"/>
      <w:r>
        <w:rPr>
          <w:rFonts w:eastAsia="Times New Roman" w:cs="Arial"/>
          <w:color w:val="323E4F"/>
          <w:szCs w:val="24"/>
          <w:lang w:val="it-IT" w:eastAsia="fr-FR"/>
        </w:rPr>
        <w:t xml:space="preserve">e </w:t>
      </w:r>
      <w:r>
        <w:rPr>
          <w:rFonts w:eastAsia="Times New Roman" w:cs="Arial"/>
          <w:i/>
          <w:color w:val="323E4F"/>
          <w:szCs w:val="24"/>
          <w:lang w:val="it-IT" w:eastAsia="fr-FR"/>
        </w:rPr>
        <w:t>“</w:t>
      </w:r>
      <w:proofErr w:type="gramEnd"/>
      <w:r>
        <w:rPr>
          <w:rFonts w:eastAsia="Times New Roman" w:cs="Arial"/>
          <w:i/>
          <w:color w:val="323E4F"/>
          <w:szCs w:val="24"/>
          <w:lang w:val="it-IT" w:eastAsia="fr-FR"/>
        </w:rPr>
        <w:t>Addio all’autunno”.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In campo fil</w:t>
      </w:r>
      <w:r>
        <w:rPr>
          <w:rFonts w:eastAsia="Times New Roman" w:cs="Arial"/>
          <w:color w:val="323E4F"/>
          <w:szCs w:val="24"/>
          <w:lang w:val="it-IT" w:eastAsia="fr-FR"/>
        </w:rPr>
        <w:t>osofico fu un rappresentante della corrente catastrofista. Si suicidò alla notizia dell’aggressione della Polonia da parte della Russia sovietica nel settembre del 1939.</w:t>
      </w:r>
    </w:p>
    <w:p w14:paraId="2E124BA2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0EEC634A" w14:textId="72A8DF1D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Bronisław</w:t>
      </w:r>
      <w:proofErr w:type="spellEnd"/>
      <w:r>
        <w:rPr>
          <w:rFonts w:eastAsia="Times New Roman" w:cs="Arial"/>
          <w:b/>
          <w:color w:val="323E4F"/>
          <w:szCs w:val="24"/>
          <w:lang w:val="it-IT" w:eastAsia="fr-FR"/>
        </w:rPr>
        <w:t xml:space="preserve">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Malinowski</w:t>
      </w:r>
      <w:proofErr w:type="spellEnd"/>
      <w:r>
        <w:rPr>
          <w:color w:val="323E4F"/>
          <w:lang w:val="it-IT"/>
        </w:rPr>
        <w:t xml:space="preserve"> </w:t>
      </w:r>
      <w:r>
        <w:rPr>
          <w:rFonts w:eastAsia="Times New Roman" w:cs="Arial"/>
          <w:color w:val="323E4F"/>
          <w:szCs w:val="24"/>
          <w:lang w:val="it-IT" w:eastAsia="fr-FR"/>
        </w:rPr>
        <w:t>(1884-1942) – etnologo polacco - inglese e antropologo sociale e</w:t>
      </w:r>
      <w:r w:rsidR="004C656E">
        <w:rPr>
          <w:rFonts w:eastAsia="Times New Roman" w:cs="Arial"/>
          <w:color w:val="323E4F"/>
          <w:szCs w:val="24"/>
          <w:lang w:val="it-IT" w:eastAsia="fr-FR"/>
        </w:rPr>
        <w:t xml:space="preserve"> economico.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Promotore della cosiddetta antropologia funzionale. Per la maggior parte della sua vita visse in Gran Bretagna insegnando al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London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School of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Economics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>. Durante la Seconda Guerra Mondiale soggiornò negli Stati Uniti d’America, e insegnò alla Y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ale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Unive</w:t>
      </w:r>
      <w:r w:rsidR="004C656E">
        <w:rPr>
          <w:rFonts w:eastAsia="Times New Roman" w:cs="Arial"/>
          <w:color w:val="323E4F"/>
          <w:szCs w:val="24"/>
          <w:lang w:val="it-IT" w:eastAsia="fr-FR"/>
        </w:rPr>
        <w:t>rsity</w:t>
      </w:r>
      <w:proofErr w:type="spellEnd"/>
      <w:r w:rsidR="004C656E">
        <w:rPr>
          <w:rFonts w:eastAsia="Times New Roman" w:cs="Arial"/>
          <w:color w:val="323E4F"/>
          <w:szCs w:val="24"/>
          <w:lang w:val="it-IT" w:eastAsia="fr-FR"/>
        </w:rPr>
        <w:t>, dedicandosi a ricerche sul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campo, soprattutto nelle Isole della Melanesia. Nel 1914, da giovane scienziato polacco agli inizi della sua carriera partecipò, insieme a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Witkiewicz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>, alla spedizione in Nuova Guinea</w:t>
      </w:r>
      <w:r w:rsidR="00EC7849">
        <w:rPr>
          <w:rFonts w:eastAsia="Times New Roman" w:cs="Arial"/>
          <w:color w:val="323E4F"/>
          <w:szCs w:val="24"/>
          <w:lang w:val="it-IT" w:eastAsia="fr-FR"/>
        </w:rPr>
        <w:t>. Nel corso della la guerra non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tornò </w:t>
      </w:r>
      <w:r w:rsidR="00EC7849">
        <w:rPr>
          <w:rFonts w:eastAsia="Times New Roman" w:cs="Arial"/>
          <w:color w:val="323E4F"/>
          <w:szCs w:val="24"/>
          <w:lang w:val="it-IT" w:eastAsia="fr-FR"/>
        </w:rPr>
        <w:t xml:space="preserve">mai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in Polonia, continuando le </w:t>
      </w:r>
      <w:r w:rsidR="008D3621">
        <w:rPr>
          <w:rFonts w:eastAsia="Times New Roman" w:cs="Arial"/>
          <w:color w:val="323E4F"/>
          <w:szCs w:val="24"/>
          <w:lang w:val="it-IT" w:eastAsia="fr-FR"/>
        </w:rPr>
        <w:t>sue ricerche nelle isole dell’</w:t>
      </w:r>
      <w:r w:rsidR="00BB701F">
        <w:rPr>
          <w:rFonts w:eastAsia="Times New Roman" w:cs="Arial"/>
          <w:color w:val="323E4F"/>
          <w:szCs w:val="24"/>
          <w:lang w:val="it-IT" w:eastAsia="fr-FR"/>
        </w:rPr>
        <w:t xml:space="preserve">Oceania e dell’Australia. </w:t>
      </w:r>
      <w:r>
        <w:rPr>
          <w:rFonts w:eastAsia="Times New Roman" w:cs="Arial"/>
          <w:color w:val="323E4F"/>
          <w:szCs w:val="24"/>
          <w:lang w:val="it-IT" w:eastAsia="fr-FR"/>
        </w:rPr>
        <w:t>Le sue opere scientifiche più note sono: “</w:t>
      </w:r>
      <w:r w:rsidRPr="00B8095D">
        <w:rPr>
          <w:rFonts w:eastAsia="Times New Roman" w:cs="Arial"/>
          <w:i/>
          <w:color w:val="323E4F"/>
          <w:szCs w:val="24"/>
          <w:lang w:val="it-IT" w:eastAsia="fr-FR"/>
        </w:rPr>
        <w:t>Argonauti del Pacifico Occidentale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” </w:t>
      </w:r>
      <w:proofErr w:type="gramStart"/>
      <w:r>
        <w:rPr>
          <w:rFonts w:eastAsia="Times New Roman" w:cs="Arial"/>
          <w:color w:val="323E4F"/>
          <w:szCs w:val="24"/>
          <w:lang w:val="it-IT" w:eastAsia="fr-FR"/>
        </w:rPr>
        <w:t xml:space="preserve">e </w:t>
      </w:r>
      <w:r>
        <w:rPr>
          <w:rFonts w:eastAsia="Times New Roman" w:cs="Arial"/>
          <w:i/>
          <w:color w:val="323E4F"/>
          <w:szCs w:val="24"/>
          <w:lang w:val="it-IT" w:eastAsia="fr-FR"/>
        </w:rPr>
        <w:t>“</w:t>
      </w:r>
      <w:proofErr w:type="gramEnd"/>
      <w:r>
        <w:rPr>
          <w:rFonts w:eastAsia="Times New Roman" w:cs="Arial"/>
          <w:i/>
          <w:color w:val="323E4F"/>
          <w:szCs w:val="24"/>
          <w:lang w:val="it-IT" w:eastAsia="fr-FR"/>
        </w:rPr>
        <w:t xml:space="preserve">La vita sessuale dei selvaggi nella Melanesia nord – occidentale”. </w:t>
      </w:r>
      <w:r>
        <w:rPr>
          <w:rFonts w:eastAsia="Times New Roman" w:cs="Arial"/>
          <w:color w:val="323E4F"/>
          <w:szCs w:val="24"/>
          <w:lang w:val="it-IT" w:eastAsia="fr-FR"/>
        </w:rPr>
        <w:t>L’antropol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ogia, secondo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Malinowski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>, dovrebbe concentrarsi sull’analisi della funzione dei rituali; il suo scopo è dare spieg</w:t>
      </w:r>
      <w:r w:rsidR="00B8095D">
        <w:rPr>
          <w:rFonts w:eastAsia="Times New Roman" w:cs="Arial"/>
          <w:color w:val="323E4F"/>
          <w:szCs w:val="24"/>
          <w:lang w:val="it-IT" w:eastAsia="fr-FR"/>
        </w:rPr>
        <w:t xml:space="preserve">azione dei fatti antropologici </w:t>
      </w:r>
      <w:r>
        <w:rPr>
          <w:rFonts w:eastAsia="Times New Roman" w:cs="Arial"/>
          <w:color w:val="323E4F"/>
          <w:szCs w:val="24"/>
          <w:lang w:val="it-IT" w:eastAsia="fr-FR"/>
        </w:rPr>
        <w:t>attraverso il ruolo che svolgono nel sistema culturale</w:t>
      </w:r>
      <w:r w:rsidR="00B8095D">
        <w:rPr>
          <w:rFonts w:eastAsia="Times New Roman" w:cs="Arial"/>
          <w:color w:val="323E4F"/>
          <w:szCs w:val="24"/>
          <w:lang w:val="it-IT" w:eastAsia="fr-FR"/>
        </w:rPr>
        <w:t>.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</w:t>
      </w:r>
    </w:p>
    <w:p w14:paraId="1DA9D4C4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1754369A" w14:textId="77777777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t>Arthur Rimbaud</w:t>
      </w:r>
      <w:r>
        <w:rPr>
          <w:color w:val="323E4F"/>
          <w:lang w:val="it-IT"/>
        </w:rPr>
        <w:t xml:space="preserve"> (1854-1891) – poeta del simbolismo fra</w:t>
      </w:r>
      <w:r>
        <w:rPr>
          <w:color w:val="323E4F"/>
          <w:lang w:val="it-IT"/>
        </w:rPr>
        <w:t>ncese, artista cupo, visionario. Viaggiatore e avventuriero. Commerciante d’armi. Nel 1871 pubblicò l’ultimo poema narrativo “</w:t>
      </w:r>
      <w:r>
        <w:rPr>
          <w:i/>
          <w:color w:val="323E4F"/>
          <w:lang w:val="it-IT"/>
        </w:rPr>
        <w:t xml:space="preserve">Le </w:t>
      </w:r>
      <w:proofErr w:type="spellStart"/>
      <w:r>
        <w:rPr>
          <w:i/>
          <w:color w:val="323E4F"/>
          <w:lang w:val="it-IT"/>
        </w:rPr>
        <w:t>Bateau</w:t>
      </w:r>
      <w:proofErr w:type="spellEnd"/>
      <w:r>
        <w:rPr>
          <w:i/>
          <w:color w:val="323E4F"/>
          <w:lang w:val="it-IT"/>
        </w:rPr>
        <w:t xml:space="preserve"> </w:t>
      </w:r>
      <w:proofErr w:type="spellStart"/>
      <w:r>
        <w:rPr>
          <w:i/>
          <w:color w:val="323E4F"/>
          <w:lang w:val="it-IT"/>
        </w:rPr>
        <w:t>Ivre</w:t>
      </w:r>
      <w:proofErr w:type="spellEnd"/>
      <w:r>
        <w:rPr>
          <w:color w:val="323E4F"/>
          <w:lang w:val="it-IT"/>
        </w:rPr>
        <w:t>”, una sorta di testamento spirituale, con il quale salutava l’Europa e preannunciava la repentina fine del mondo ri</w:t>
      </w:r>
      <w:r>
        <w:rPr>
          <w:color w:val="323E4F"/>
          <w:lang w:val="it-IT"/>
        </w:rPr>
        <w:t xml:space="preserve">dotto alla decadenza. </w:t>
      </w:r>
    </w:p>
    <w:p w14:paraId="14BF6BCB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0E9706EB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52F11360" w14:textId="669439C9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lastRenderedPageBreak/>
        <w:t>Joseph Conrad</w:t>
      </w:r>
      <w:r>
        <w:rPr>
          <w:color w:val="323E4F"/>
          <w:lang w:val="it-IT"/>
        </w:rPr>
        <w:t xml:space="preserve"> (1857-1924), scrittore e pubbli</w:t>
      </w:r>
      <w:r w:rsidR="00B8095D">
        <w:rPr>
          <w:color w:val="323E4F"/>
          <w:lang w:val="it-IT"/>
        </w:rPr>
        <w:t>cista polacco. Nel 1874 lasciò l</w:t>
      </w:r>
      <w:r>
        <w:rPr>
          <w:color w:val="323E4F"/>
          <w:lang w:val="it-IT"/>
        </w:rPr>
        <w:t xml:space="preserve">a Polonia e si recò in Francia, dove si imbarcò come semplice marinaio. Nel 1894 si stabili in Inghilterra e </w:t>
      </w:r>
      <w:r w:rsidR="00C22870">
        <w:rPr>
          <w:color w:val="323E4F"/>
          <w:lang w:val="it-IT"/>
        </w:rPr>
        <w:t xml:space="preserve">si </w:t>
      </w:r>
      <w:r>
        <w:rPr>
          <w:color w:val="323E4F"/>
          <w:lang w:val="it-IT"/>
        </w:rPr>
        <w:t xml:space="preserve">dedicò alla scrittura in lingua inglese. Nei </w:t>
      </w:r>
      <w:r>
        <w:rPr>
          <w:color w:val="323E4F"/>
          <w:lang w:val="it-IT"/>
        </w:rPr>
        <w:t>suoi romanzi, è molto caratteristico il moralismo, e, soprattutto, il modo di mettere i protagonisti di fronte all’urgenza di operare delle scelte difficili nelle situazioni estreme, e indurli</w:t>
      </w:r>
      <w:r w:rsidR="00C22870">
        <w:rPr>
          <w:color w:val="323E4F"/>
          <w:lang w:val="it-IT"/>
        </w:rPr>
        <w:t xml:space="preserve"> a indagare i confini tra bene e male, tra verità e menzogna, a ricercare risposte su cosa sia</w:t>
      </w:r>
      <w:r>
        <w:rPr>
          <w:color w:val="323E4F"/>
          <w:lang w:val="it-IT"/>
        </w:rPr>
        <w:t xml:space="preserve"> la responsabilità dell’uomo. I suoi romanzi più noti sono: “</w:t>
      </w:r>
      <w:r w:rsidRPr="00C22870">
        <w:rPr>
          <w:i/>
          <w:color w:val="323E4F"/>
          <w:lang w:val="it-IT"/>
        </w:rPr>
        <w:t xml:space="preserve">Lord </w:t>
      </w:r>
      <w:proofErr w:type="spellStart"/>
      <w:r w:rsidRPr="00C22870">
        <w:rPr>
          <w:i/>
          <w:color w:val="323E4F"/>
          <w:lang w:val="it-IT"/>
        </w:rPr>
        <w:t>Jim</w:t>
      </w:r>
      <w:proofErr w:type="spellEnd"/>
      <w:r w:rsidR="00C22870">
        <w:rPr>
          <w:color w:val="323E4F"/>
          <w:lang w:val="it-IT"/>
        </w:rPr>
        <w:t>”, “</w:t>
      </w:r>
      <w:r w:rsidRPr="00C22870">
        <w:rPr>
          <w:i/>
          <w:color w:val="323E4F"/>
          <w:lang w:val="it-IT"/>
        </w:rPr>
        <w:t>La linea d’ombra</w:t>
      </w:r>
      <w:r>
        <w:rPr>
          <w:color w:val="323E4F"/>
          <w:lang w:val="it-IT"/>
        </w:rPr>
        <w:t>”, “</w:t>
      </w:r>
      <w:r w:rsidRPr="00C22870">
        <w:rPr>
          <w:i/>
          <w:color w:val="323E4F"/>
          <w:lang w:val="it-IT"/>
        </w:rPr>
        <w:t>Cuore di tenebra</w:t>
      </w:r>
      <w:r>
        <w:rPr>
          <w:color w:val="323E4F"/>
          <w:lang w:val="it-IT"/>
        </w:rPr>
        <w:t>”.</w:t>
      </w:r>
    </w:p>
    <w:p w14:paraId="058137F3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494C123C" w14:textId="03D43B0D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t>Utopi</w:t>
      </w:r>
      <w:r w:rsidR="00C22870">
        <w:rPr>
          <w:b/>
          <w:color w:val="323E4F"/>
          <w:lang w:val="it-IT"/>
        </w:rPr>
        <w:t>a</w:t>
      </w:r>
      <w:r w:rsidR="00C22870">
        <w:rPr>
          <w:color w:val="323E4F"/>
          <w:lang w:val="it-IT"/>
        </w:rPr>
        <w:t xml:space="preserve"> è</w:t>
      </w:r>
      <w:r>
        <w:rPr>
          <w:color w:val="323E4F"/>
          <w:lang w:val="it-IT"/>
        </w:rPr>
        <w:t xml:space="preserve"> una visione del mondo alternativa </w:t>
      </w:r>
      <w:r w:rsidR="00C22870">
        <w:rPr>
          <w:color w:val="323E4F"/>
          <w:lang w:val="it-IT"/>
        </w:rPr>
        <w:t>a quella che conosciamo. È</w:t>
      </w:r>
      <w:r>
        <w:rPr>
          <w:color w:val="323E4F"/>
          <w:lang w:val="it-IT"/>
        </w:rPr>
        <w:t xml:space="preserve"> anche la rappresentazione spaziale e tempor</w:t>
      </w:r>
      <w:r>
        <w:rPr>
          <w:color w:val="323E4F"/>
          <w:lang w:val="it-IT"/>
        </w:rPr>
        <w:t>ale di una rea</w:t>
      </w:r>
      <w:r w:rsidR="00C22870">
        <w:rPr>
          <w:color w:val="323E4F"/>
          <w:lang w:val="it-IT"/>
        </w:rPr>
        <w:t>ltà che qui e ora non esiste. È</w:t>
      </w:r>
      <w:r>
        <w:rPr>
          <w:color w:val="323E4F"/>
          <w:lang w:val="it-IT"/>
        </w:rPr>
        <w:t xml:space="preserve"> uno spazio immaginato, con tutte le caratteristiche di uno spazio finto. Per questa ragione essa può e</w:t>
      </w:r>
      <w:r w:rsidR="00C22870">
        <w:rPr>
          <w:color w:val="323E4F"/>
          <w:lang w:val="it-IT"/>
        </w:rPr>
        <w:t>ssere associata alla fantasia.</w:t>
      </w:r>
    </w:p>
    <w:p w14:paraId="0664610A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53EB7CEC" w14:textId="2FC85EEC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t>Eterotopia</w:t>
      </w:r>
      <w:r>
        <w:rPr>
          <w:color w:val="323E4F"/>
          <w:lang w:val="it-IT"/>
        </w:rPr>
        <w:t xml:space="preserve"> vuol </w:t>
      </w:r>
      <w:proofErr w:type="gramStart"/>
      <w:r>
        <w:rPr>
          <w:color w:val="323E4F"/>
          <w:lang w:val="it-IT"/>
        </w:rPr>
        <w:t>dire</w:t>
      </w:r>
      <w:r w:rsidR="00B63870">
        <w:rPr>
          <w:color w:val="323E4F"/>
          <w:lang w:val="it-IT"/>
        </w:rPr>
        <w:t xml:space="preserve"> ”</w:t>
      </w:r>
      <w:r>
        <w:rPr>
          <w:color w:val="323E4F"/>
          <w:lang w:val="it-IT"/>
        </w:rPr>
        <w:t>altri</w:t>
      </w:r>
      <w:proofErr w:type="gramEnd"/>
      <w:r>
        <w:rPr>
          <w:color w:val="323E4F"/>
          <w:lang w:val="it-IT"/>
        </w:rPr>
        <w:t xml:space="preserve"> e disparati spazi”. in opposizione all’utopia</w:t>
      </w:r>
      <w:r>
        <w:rPr>
          <w:color w:val="323E4F"/>
          <w:lang w:val="it-IT"/>
        </w:rPr>
        <w:t>, questi sono siti concreti in una determinata realtà. Li caratterizza una certa individualità e pluralità. Servono uno scopo speciale, distinguendosi per un loro carattere speciale. Sono luoghi dove si soggiorna temporaneamente. Luoghi concreti ma non sic</w:t>
      </w:r>
      <w:r w:rsidR="00B63870">
        <w:rPr>
          <w:color w:val="323E4F"/>
          <w:lang w:val="it-IT"/>
        </w:rPr>
        <w:t>uri.</w:t>
      </w:r>
    </w:p>
    <w:p w14:paraId="0C243DBC" w14:textId="77777777" w:rsidR="005B7E91" w:rsidRDefault="005B7E91" w:rsidP="0003314F">
      <w:pPr>
        <w:spacing w:line="360" w:lineRule="auto"/>
        <w:jc w:val="both"/>
        <w:rPr>
          <w:b/>
          <w:color w:val="323E4F"/>
          <w:lang w:val="it-IT"/>
        </w:rPr>
      </w:pPr>
    </w:p>
    <w:p w14:paraId="6560FA29" w14:textId="486FD2E9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t>Distopia</w:t>
      </w:r>
      <w:r>
        <w:rPr>
          <w:color w:val="323E4F"/>
          <w:lang w:val="it-IT"/>
        </w:rPr>
        <w:t xml:space="preserve"> intesa come </w:t>
      </w:r>
      <w:proofErr w:type="spellStart"/>
      <w:r>
        <w:rPr>
          <w:b/>
          <w:color w:val="323E4F"/>
          <w:lang w:val="it-IT"/>
        </w:rPr>
        <w:t>antiutopia</w:t>
      </w:r>
      <w:proofErr w:type="spellEnd"/>
      <w:r w:rsidRPr="00B63870">
        <w:rPr>
          <w:color w:val="323E4F"/>
          <w:lang w:val="it-IT"/>
        </w:rPr>
        <w:t xml:space="preserve"> </w:t>
      </w:r>
      <w:r w:rsidRPr="00B63870">
        <w:rPr>
          <w:color w:val="323E4F"/>
          <w:lang w:val="it-IT"/>
        </w:rPr>
        <w:t>è</w:t>
      </w:r>
      <w:r>
        <w:rPr>
          <w:b/>
          <w:color w:val="323E4F"/>
          <w:lang w:val="it-IT"/>
        </w:rPr>
        <w:t xml:space="preserve"> </w:t>
      </w:r>
      <w:r>
        <w:rPr>
          <w:color w:val="323E4F"/>
          <w:lang w:val="it-IT"/>
        </w:rPr>
        <w:t xml:space="preserve">l’opposto della </w:t>
      </w:r>
      <w:r>
        <w:rPr>
          <w:color w:val="323E4F"/>
          <w:lang w:val="it-IT"/>
        </w:rPr>
        <w:t xml:space="preserve">visione </w:t>
      </w:r>
      <w:r w:rsidR="00B63870">
        <w:rPr>
          <w:color w:val="323E4F"/>
          <w:lang w:val="it-IT"/>
        </w:rPr>
        <w:t xml:space="preserve">positiva </w:t>
      </w:r>
      <w:r>
        <w:rPr>
          <w:color w:val="323E4F"/>
          <w:lang w:val="it-IT"/>
        </w:rPr>
        <w:t>del futuro (negazione della felice fantasia dell’utopia) e, in qua</w:t>
      </w:r>
      <w:r w:rsidR="00B63870">
        <w:rPr>
          <w:color w:val="323E4F"/>
          <w:lang w:val="it-IT"/>
        </w:rPr>
        <w:t xml:space="preserve">nto distopia, non si riferisce all’utopia, è un'alterata </w:t>
      </w:r>
      <w:r>
        <w:rPr>
          <w:color w:val="323E4F"/>
          <w:lang w:val="it-IT"/>
        </w:rPr>
        <w:t>visione di un mondo, che viene disegnato a tinte fosche</w:t>
      </w:r>
      <w:r>
        <w:rPr>
          <w:color w:val="323E4F"/>
          <w:lang w:val="it-IT"/>
        </w:rPr>
        <w:t xml:space="preserve">. La caratterizzano catastrofismo e pessimismo. </w:t>
      </w:r>
    </w:p>
    <w:p w14:paraId="5469DED2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7C95F5A7" w14:textId="04FB0126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b/>
          <w:color w:val="323E4F"/>
          <w:lang w:val="it-IT"/>
        </w:rPr>
        <w:t>Decostruzione</w:t>
      </w:r>
      <w:r>
        <w:rPr>
          <w:color w:val="323E4F"/>
          <w:lang w:val="it-IT"/>
        </w:rPr>
        <w:t xml:space="preserve"> –</w:t>
      </w:r>
      <w:r w:rsidR="00B63870">
        <w:rPr>
          <w:color w:val="323E4F"/>
          <w:lang w:val="it-IT"/>
        </w:rPr>
        <w:t xml:space="preserve"> </w:t>
      </w:r>
      <w:r>
        <w:rPr>
          <w:color w:val="323E4F"/>
          <w:lang w:val="it-IT"/>
        </w:rPr>
        <w:t xml:space="preserve">l’interpretazione critica del testo, una sorta di metodo che permette una rilettura variegata (e critica) dei vari generi delle narrazioni storiche, filosofiche, letterarie e artistiche. </w:t>
      </w:r>
    </w:p>
    <w:p w14:paraId="1FFDFFEE" w14:textId="77777777" w:rsidR="005B7E91" w:rsidRDefault="005B7E91" w:rsidP="0003314F">
      <w:pPr>
        <w:spacing w:line="360" w:lineRule="auto"/>
        <w:jc w:val="both"/>
        <w:rPr>
          <w:b/>
          <w:color w:val="323E4F"/>
          <w:lang w:val="it-IT"/>
        </w:rPr>
      </w:pPr>
    </w:p>
    <w:p w14:paraId="14F7AD5E" w14:textId="77777777" w:rsidR="00471118" w:rsidRDefault="0003314F" w:rsidP="0003314F">
      <w:pPr>
        <w:spacing w:line="360" w:lineRule="auto"/>
        <w:jc w:val="both"/>
        <w:rPr>
          <w:b/>
          <w:color w:val="323E4F"/>
          <w:lang w:val="it-IT"/>
        </w:rPr>
      </w:pPr>
      <w:r>
        <w:rPr>
          <w:b/>
          <w:color w:val="323E4F"/>
          <w:lang w:val="it-IT"/>
        </w:rPr>
        <w:t>Al</w:t>
      </w:r>
      <w:r>
        <w:rPr>
          <w:b/>
          <w:color w:val="323E4F"/>
          <w:lang w:val="it-IT"/>
        </w:rPr>
        <w:t>tro/Estraneo</w:t>
      </w:r>
    </w:p>
    <w:p w14:paraId="1154656D" w14:textId="4019DB28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color w:val="323E4F"/>
          <w:lang w:val="it-IT"/>
        </w:rPr>
        <w:t>Il concetto di estraneo si applica nei confronti di uno sconosciuto, un nemico,</w:t>
      </w:r>
      <w:r w:rsidR="00471118">
        <w:rPr>
          <w:color w:val="323E4F"/>
          <w:lang w:val="it-IT"/>
        </w:rPr>
        <w:t xml:space="preserve"> di qualcuno proveniente da un’</w:t>
      </w:r>
      <w:r w:rsidR="00CF1DE4">
        <w:rPr>
          <w:color w:val="323E4F"/>
          <w:lang w:val="it-IT"/>
        </w:rPr>
        <w:t xml:space="preserve">altra cultura, e anche nei confronti di colui che </w:t>
      </w:r>
      <w:r>
        <w:rPr>
          <w:color w:val="323E4F"/>
          <w:lang w:val="it-IT"/>
        </w:rPr>
        <w:t>non è stat</w:t>
      </w:r>
      <w:r w:rsidR="00CF1DE4">
        <w:rPr>
          <w:color w:val="323E4F"/>
          <w:lang w:val="it-IT"/>
        </w:rPr>
        <w:t>o ancora identificato da noi. È anche colui che</w:t>
      </w:r>
      <w:r>
        <w:rPr>
          <w:color w:val="323E4F"/>
          <w:lang w:val="it-IT"/>
        </w:rPr>
        <w:t xml:space="preserve"> viene escluso dalla</w:t>
      </w:r>
      <w:r>
        <w:rPr>
          <w:color w:val="323E4F"/>
          <w:lang w:val="it-IT"/>
        </w:rPr>
        <w:t xml:space="preserve"> cerchia delle persone che conosciamo e che si conoscono tra di loro. L’alterità</w:t>
      </w:r>
      <w:r w:rsidR="00CF1DE4">
        <w:rPr>
          <w:color w:val="323E4F"/>
          <w:lang w:val="it-IT"/>
        </w:rPr>
        <w:t>,</w:t>
      </w:r>
      <w:r>
        <w:rPr>
          <w:color w:val="323E4F"/>
          <w:lang w:val="it-IT"/>
        </w:rPr>
        <w:t xml:space="preserve"> a differenza dell’estraneità</w:t>
      </w:r>
      <w:r w:rsidR="00CF1DE4">
        <w:rPr>
          <w:color w:val="323E4F"/>
          <w:lang w:val="it-IT"/>
        </w:rPr>
        <w:t>,</w:t>
      </w:r>
      <w:r>
        <w:rPr>
          <w:color w:val="323E4F"/>
          <w:lang w:val="it-IT"/>
        </w:rPr>
        <w:t xml:space="preserve"> non ha un suo antagonista. La divisione noi/estraneo ci permette </w:t>
      </w:r>
      <w:r>
        <w:rPr>
          <w:color w:val="323E4F"/>
          <w:lang w:val="it-IT"/>
        </w:rPr>
        <w:lastRenderedPageBreak/>
        <w:t>l’auto definizione, la scoperta del proprio io, e della propria identità attraver</w:t>
      </w:r>
      <w:r w:rsidR="002A5604">
        <w:rPr>
          <w:color w:val="323E4F"/>
          <w:lang w:val="it-IT"/>
        </w:rPr>
        <w:t>so l’estraneo che costituisce il</w:t>
      </w:r>
      <w:r>
        <w:rPr>
          <w:color w:val="323E4F"/>
          <w:lang w:val="it-IT"/>
        </w:rPr>
        <w:t xml:space="preserve"> parametro di riferimento.</w:t>
      </w:r>
    </w:p>
    <w:p w14:paraId="6DC3CF5A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0BF697D9" w14:textId="77777777" w:rsidR="005B7E91" w:rsidRDefault="0003314F" w:rsidP="0003314F">
      <w:pPr>
        <w:spacing w:line="360" w:lineRule="auto"/>
        <w:jc w:val="both"/>
        <w:rPr>
          <w:b/>
          <w:color w:val="323E4F"/>
          <w:lang w:val="it-IT"/>
        </w:rPr>
      </w:pPr>
      <w:r>
        <w:rPr>
          <w:b/>
          <w:color w:val="323E4F"/>
          <w:lang w:val="it-IT"/>
        </w:rPr>
        <w:t xml:space="preserve">Familiarità/ Identità </w:t>
      </w:r>
    </w:p>
    <w:p w14:paraId="0E2C25E5" w14:textId="2CA137F9" w:rsidR="005B7E91" w:rsidRDefault="0003314F" w:rsidP="0003314F">
      <w:pPr>
        <w:spacing w:line="360" w:lineRule="auto"/>
        <w:jc w:val="both"/>
        <w:rPr>
          <w:color w:val="323E4F"/>
          <w:lang w:val="it-IT"/>
        </w:rPr>
      </w:pPr>
      <w:r>
        <w:rPr>
          <w:color w:val="323E4F"/>
          <w:lang w:val="it-IT"/>
        </w:rPr>
        <w:t>Familiare è colui che si trova molto vicino a noi all’interno di un ambiente oppure di un paese e per questa ragione è ben conosciuto (identificato come simile a me), oppure</w:t>
      </w:r>
      <w:r>
        <w:rPr>
          <w:color w:val="323E4F"/>
          <w:lang w:val="it-IT"/>
        </w:rPr>
        <w:t xml:space="preserve"> simile a qualcuno che conosciamo bene e </w:t>
      </w:r>
      <w:r w:rsidR="00BC6037">
        <w:rPr>
          <w:color w:val="323E4F"/>
          <w:lang w:val="it-IT"/>
        </w:rPr>
        <w:t xml:space="preserve">che ci è familiare (familiare, </w:t>
      </w:r>
      <w:r>
        <w:rPr>
          <w:color w:val="323E4F"/>
          <w:lang w:val="it-IT"/>
        </w:rPr>
        <w:t xml:space="preserve">quindi non estraneo). Identità è soprattutto l’identificazione con </w:t>
      </w:r>
      <w:proofErr w:type="gramStart"/>
      <w:r>
        <w:rPr>
          <w:color w:val="323E4F"/>
          <w:lang w:val="it-IT"/>
        </w:rPr>
        <w:t>se</w:t>
      </w:r>
      <w:proofErr w:type="gramEnd"/>
      <w:r>
        <w:rPr>
          <w:color w:val="323E4F"/>
          <w:lang w:val="it-IT"/>
        </w:rPr>
        <w:t xml:space="preserve"> stessi, una s</w:t>
      </w:r>
      <w:r w:rsidR="00A035CB">
        <w:rPr>
          <w:color w:val="323E4F"/>
          <w:lang w:val="it-IT"/>
        </w:rPr>
        <w:t>orta di consapevolezza di sé. È</w:t>
      </w:r>
      <w:r>
        <w:rPr>
          <w:color w:val="323E4F"/>
          <w:lang w:val="it-IT"/>
        </w:rPr>
        <w:t xml:space="preserve"> anche, come peraltro lo è la familiarità, l’identificazione con un</w:t>
      </w:r>
      <w:r>
        <w:rPr>
          <w:color w:val="323E4F"/>
          <w:lang w:val="it-IT"/>
        </w:rPr>
        <w:t xml:space="preserve"> gruppo di persone e dei suoi singoli membri con una determinata cultura quindi con le sue idee, convinzioni, abitudini e valori. Caso estremo è la familiarità etnica (di razza) associata di solito all’ideologia politica dell’identità (identificazione).</w:t>
      </w:r>
    </w:p>
    <w:p w14:paraId="4EB66F4C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47D89DC9" w14:textId="77777777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r>
        <w:rPr>
          <w:rFonts w:eastAsia="Times New Roman" w:cs="Arial"/>
          <w:b/>
          <w:color w:val="323E4F"/>
          <w:szCs w:val="24"/>
          <w:lang w:val="it-IT" w:eastAsia="fr-FR"/>
        </w:rPr>
        <w:t xml:space="preserve">George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Simmel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(1858-1918) – filosofo, teorico, uno dei primi sociologi tedeschi. Promotore della cosiddetta microsociologia, nell’ambito della quale ha elaborato il concetto di Estraneo.</w:t>
      </w:r>
    </w:p>
    <w:p w14:paraId="5C2A066E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53457EB4" w14:textId="10DFECC3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r>
        <w:rPr>
          <w:rFonts w:eastAsia="Times New Roman" w:cs="Arial"/>
          <w:b/>
          <w:color w:val="323E4F"/>
          <w:szCs w:val="24"/>
          <w:lang w:val="it-IT" w:eastAsia="fr-FR"/>
        </w:rPr>
        <w:t xml:space="preserve">James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Frazer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(1854-1941) – scozzese, antropologo sociale, filologo e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storico delle religioni. Ha fortemente influenzato le prime fasi delle ri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cerche sulla mitologia e delle </w:t>
      </w:r>
      <w:r>
        <w:rPr>
          <w:rFonts w:eastAsia="Times New Roman" w:cs="Arial"/>
          <w:color w:val="323E4F"/>
          <w:szCs w:val="24"/>
          <w:lang w:val="it-IT" w:eastAsia="fr-FR"/>
        </w:rPr>
        <w:t>ricerche comparative delle reli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gioni. Utilizzò il concetto di </w:t>
      </w:r>
      <w:r>
        <w:rPr>
          <w:rFonts w:eastAsia="Times New Roman" w:cs="Arial"/>
          <w:color w:val="323E4F"/>
          <w:szCs w:val="24"/>
          <w:lang w:val="it-IT" w:eastAsia="fr-FR"/>
        </w:rPr>
        <w:t>Mito.</w:t>
      </w:r>
    </w:p>
    <w:p w14:paraId="2C1AA9F1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15F64145" w14:textId="11D19F26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r>
        <w:rPr>
          <w:rFonts w:eastAsia="Times New Roman" w:cs="Arial"/>
          <w:b/>
          <w:color w:val="323E4F"/>
          <w:szCs w:val="24"/>
          <w:lang w:val="it-IT" w:eastAsia="fr-FR"/>
        </w:rPr>
        <w:t xml:space="preserve">Rosi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Braidotti</w:t>
      </w:r>
      <w:proofErr w:type="spellEnd"/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 (1954-) –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italiana naturalizzata australiana. Ha lavorato in Oland</w:t>
      </w:r>
      <w:r>
        <w:rPr>
          <w:rFonts w:eastAsia="Times New Roman" w:cs="Arial"/>
          <w:color w:val="323E4F"/>
          <w:szCs w:val="24"/>
          <w:lang w:val="it-IT" w:eastAsia="fr-FR"/>
        </w:rPr>
        <w:t>a, in Francia, e negli Stati Uniti d’America. Filosofa contemporanea e teorica del femminismo. Ha elaborato il concetto d’identità nomade intesa come</w:t>
      </w:r>
      <w:proofErr w:type="gramStart"/>
      <w:r>
        <w:rPr>
          <w:rFonts w:eastAsia="Times New Roman" w:cs="Arial"/>
          <w:color w:val="323E4F"/>
          <w:szCs w:val="24"/>
          <w:lang w:val="it-IT" w:eastAsia="fr-FR"/>
        </w:rPr>
        <w:t>: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 </w:t>
      </w:r>
      <w:r>
        <w:rPr>
          <w:rFonts w:eastAsia="Times New Roman" w:cs="Arial"/>
          <w:color w:val="323E4F"/>
          <w:szCs w:val="24"/>
          <w:lang w:val="it-IT" w:eastAsia="fr-FR"/>
        </w:rPr>
        <w:t>”form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>a</w:t>
      </w:r>
      <w:proofErr w:type="gramEnd"/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 mobile della rappresentazione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dell’identità”.</w:t>
      </w:r>
    </w:p>
    <w:p w14:paraId="2332A8D1" w14:textId="77777777" w:rsidR="005B7E91" w:rsidRDefault="005B7E91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</w:p>
    <w:p w14:paraId="68ADC026" w14:textId="786D9859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r>
        <w:rPr>
          <w:rFonts w:eastAsia="Times New Roman" w:cs="Arial"/>
          <w:b/>
          <w:color w:val="323E4F"/>
          <w:szCs w:val="24"/>
          <w:lang w:val="it-IT" w:eastAsia="fr-FR"/>
        </w:rPr>
        <w:t>Michel Foucault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(1926-1984) – 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>f</w:t>
      </w:r>
      <w:r>
        <w:rPr>
          <w:rFonts w:eastAsia="Times New Roman" w:cs="Arial"/>
          <w:color w:val="323E4F"/>
          <w:szCs w:val="24"/>
          <w:lang w:val="it-IT" w:eastAsia="fr-FR"/>
        </w:rPr>
        <w:t>ilosofo francese e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 storico della scienza. Sviluppò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 l’analisi critica 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delle istituzioni sociali nell’ambito della psichiatria,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del sistema carcerario e della sessualità. Individuò una stretta connessione tra il sapere e il potere. Elaborò il concetto di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eterotopia inteso come luogo d’isolamento e della rivolta, di alienazione e della familiarità. </w:t>
      </w:r>
    </w:p>
    <w:p w14:paraId="6CB16CC2" w14:textId="77777777" w:rsidR="005B7E91" w:rsidRDefault="005B7E91" w:rsidP="0003314F">
      <w:pPr>
        <w:spacing w:line="360" w:lineRule="auto"/>
        <w:jc w:val="both"/>
        <w:rPr>
          <w:rFonts w:eastAsia="Times New Roman" w:cs="Arial"/>
          <w:b/>
          <w:color w:val="323E4F"/>
          <w:szCs w:val="24"/>
          <w:lang w:val="it-IT" w:eastAsia="fr-FR"/>
        </w:rPr>
      </w:pPr>
    </w:p>
    <w:p w14:paraId="6DA65173" w14:textId="0A43858A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Aby</w:t>
      </w:r>
      <w:proofErr w:type="spellEnd"/>
      <w:r>
        <w:rPr>
          <w:rFonts w:eastAsia="Times New Roman" w:cs="Arial"/>
          <w:b/>
          <w:color w:val="323E4F"/>
          <w:szCs w:val="24"/>
          <w:lang w:val="it-IT" w:eastAsia="fr-FR"/>
        </w:rPr>
        <w:t xml:space="preserve">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Warburg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(1866-1929) – teoric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o dell’arte e cultura tedesco,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antropologo. Lavorò ad Amburgo. Si occupò delle ricerche nell’ambito della cultura antica e </w:t>
      </w:r>
      <w:r>
        <w:rPr>
          <w:rFonts w:eastAsia="Times New Roman" w:cs="Arial"/>
          <w:color w:val="323E4F"/>
          <w:szCs w:val="24"/>
          <w:lang w:val="it-IT" w:eastAsia="fr-FR"/>
        </w:rPr>
        <w:lastRenderedPageBreak/>
        <w:t>rin</w:t>
      </w:r>
      <w:r w:rsidR="00A035CB">
        <w:rPr>
          <w:rFonts w:eastAsia="Times New Roman" w:cs="Arial"/>
          <w:color w:val="323E4F"/>
          <w:szCs w:val="24"/>
          <w:lang w:val="it-IT" w:eastAsia="fr-FR"/>
        </w:rPr>
        <w:t xml:space="preserve">ascimentale. </w:t>
      </w:r>
      <w:r w:rsidR="00EB5331">
        <w:rPr>
          <w:rFonts w:eastAsia="Times New Roman" w:cs="Arial"/>
          <w:color w:val="323E4F"/>
          <w:szCs w:val="24"/>
          <w:lang w:val="it-IT" w:eastAsia="fr-FR"/>
        </w:rPr>
        <w:t xml:space="preserve">Mise in discussione </w:t>
      </w:r>
      <w:r>
        <w:rPr>
          <w:rFonts w:eastAsia="Times New Roman" w:cs="Arial"/>
          <w:color w:val="323E4F"/>
          <w:szCs w:val="24"/>
          <w:lang w:val="it-IT" w:eastAsia="fr-FR"/>
        </w:rPr>
        <w:t>la visione lineare d</w:t>
      </w:r>
      <w:r w:rsidR="00EB5331">
        <w:rPr>
          <w:rFonts w:eastAsia="Times New Roman" w:cs="Arial"/>
          <w:color w:val="323E4F"/>
          <w:szCs w:val="24"/>
          <w:lang w:val="it-IT" w:eastAsia="fr-FR"/>
        </w:rPr>
        <w:t>ella storia. Nella sua ricerca i</w:t>
      </w:r>
      <w:r>
        <w:rPr>
          <w:rFonts w:eastAsia="Times New Roman" w:cs="Arial"/>
          <w:color w:val="323E4F"/>
          <w:szCs w:val="24"/>
          <w:lang w:val="it-IT" w:eastAsia="fr-FR"/>
        </w:rPr>
        <w:t>l tempo storico si esprime in stratificazioni, ritorni, incroci e tracce. In contrasto con la popolare interpretazione stilistica della storia dell’arte propose la stori</w:t>
      </w:r>
      <w:r>
        <w:rPr>
          <w:rFonts w:eastAsia="Times New Roman" w:cs="Arial"/>
          <w:color w:val="323E4F"/>
          <w:szCs w:val="24"/>
          <w:lang w:val="it-IT" w:eastAsia="fr-FR"/>
        </w:rPr>
        <w:t>a dei qua</w:t>
      </w:r>
      <w:r w:rsidR="00582074">
        <w:rPr>
          <w:rFonts w:eastAsia="Times New Roman" w:cs="Arial"/>
          <w:color w:val="323E4F"/>
          <w:szCs w:val="24"/>
          <w:lang w:val="it-IT" w:eastAsia="fr-FR"/>
        </w:rPr>
        <w:t xml:space="preserve">dri e non quella delle opere e 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biografie. Secondo il suo parere l’arte non è un fenomeno autonomo, si pone sempre all’incrocio di varie intenzioni e per questa ragione assume diversi significati. </w:t>
      </w:r>
      <w:proofErr w:type="spellStart"/>
      <w:r>
        <w:rPr>
          <w:rFonts w:eastAsia="Times New Roman" w:cs="Arial"/>
          <w:color w:val="323E4F"/>
          <w:szCs w:val="24"/>
          <w:lang w:val="it-IT" w:eastAsia="fr-FR"/>
        </w:rPr>
        <w:t>Warburg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ha gettato le basi della storia dell’arte </w:t>
      </w:r>
      <w:r>
        <w:rPr>
          <w:rFonts w:eastAsia="Times New Roman" w:cs="Arial"/>
          <w:color w:val="323E4F"/>
          <w:szCs w:val="24"/>
          <w:lang w:val="it-IT" w:eastAsia="fr-FR"/>
        </w:rPr>
        <w:t>antropologica.</w:t>
      </w:r>
    </w:p>
    <w:p w14:paraId="208F961A" w14:textId="77777777" w:rsidR="005B7E91" w:rsidRDefault="005B7E91" w:rsidP="0003314F">
      <w:pPr>
        <w:spacing w:line="360" w:lineRule="auto"/>
        <w:jc w:val="both"/>
        <w:rPr>
          <w:color w:val="323E4F"/>
          <w:lang w:val="it-IT"/>
        </w:rPr>
      </w:pPr>
    </w:p>
    <w:p w14:paraId="3F7E1785" w14:textId="105CFFA3" w:rsidR="005B7E91" w:rsidRDefault="0003314F" w:rsidP="0003314F">
      <w:pPr>
        <w:spacing w:line="360" w:lineRule="auto"/>
        <w:jc w:val="both"/>
        <w:rPr>
          <w:rFonts w:eastAsia="Times New Roman" w:cs="Arial"/>
          <w:color w:val="323E4F"/>
          <w:szCs w:val="24"/>
          <w:lang w:val="it-IT" w:eastAsia="fr-FR"/>
        </w:rPr>
      </w:pPr>
      <w:r>
        <w:rPr>
          <w:b/>
          <w:color w:val="323E4F"/>
          <w:lang w:val="it-IT"/>
        </w:rPr>
        <w:t xml:space="preserve">Max </w:t>
      </w:r>
      <w:proofErr w:type="spellStart"/>
      <w:r>
        <w:rPr>
          <w:rFonts w:eastAsia="Times New Roman" w:cs="Arial"/>
          <w:b/>
          <w:color w:val="323E4F"/>
          <w:szCs w:val="24"/>
          <w:lang w:val="it-IT" w:eastAsia="fr-FR"/>
        </w:rPr>
        <w:t>Dvořák</w:t>
      </w:r>
      <w:proofErr w:type="spellEnd"/>
      <w:r>
        <w:rPr>
          <w:rFonts w:eastAsia="Times New Roman" w:cs="Arial"/>
          <w:color w:val="323E4F"/>
          <w:szCs w:val="24"/>
          <w:lang w:val="it-IT" w:eastAsia="fr-FR"/>
        </w:rPr>
        <w:t xml:space="preserve"> (1874-1921) – storico e teorico dell’arte di origine ceca. Lavorò in Austria, fu uno tra i più importanti rappresenta</w:t>
      </w:r>
      <w:r w:rsidR="00582074">
        <w:rPr>
          <w:rFonts w:eastAsia="Times New Roman" w:cs="Arial"/>
          <w:color w:val="323E4F"/>
          <w:szCs w:val="24"/>
          <w:lang w:val="it-IT" w:eastAsia="fr-FR"/>
        </w:rPr>
        <w:t xml:space="preserve">nti della scuola viennese. Si </w:t>
      </w:r>
      <w:r>
        <w:rPr>
          <w:rFonts w:eastAsia="Times New Roman" w:cs="Arial"/>
          <w:color w:val="323E4F"/>
          <w:szCs w:val="24"/>
          <w:lang w:val="it-IT" w:eastAsia="fr-FR"/>
        </w:rPr>
        <w:t>allontanò dal formalismo lineare della storia dell’arte e considerò la storia de</w:t>
      </w:r>
      <w:r>
        <w:rPr>
          <w:rFonts w:eastAsia="Times New Roman" w:cs="Arial"/>
          <w:color w:val="323E4F"/>
          <w:szCs w:val="24"/>
          <w:lang w:val="it-IT" w:eastAsia="fr-FR"/>
        </w:rPr>
        <w:t xml:space="preserve">ll’arte in modo non continuativo, bensì piena di stacchi, fessure e di ibridi come il manierismo e l’espressionismo nei quali ravvisava non solo il sintomo di una crisi ma anche un concetto d’arte secondo la quale la trasmissione dell’emozione interiore è </w:t>
      </w:r>
      <w:r>
        <w:rPr>
          <w:rFonts w:eastAsia="Times New Roman" w:cs="Arial"/>
          <w:color w:val="323E4F"/>
          <w:szCs w:val="24"/>
          <w:lang w:val="it-IT" w:eastAsia="fr-FR"/>
        </w:rPr>
        <w:t>molto più importante dalla fedeltà alla natura. Lo si potrebbe considerare precursore della storia dell’arte astratta.</w:t>
      </w:r>
    </w:p>
    <w:p w14:paraId="6F08174B" w14:textId="77777777" w:rsidR="005B7E91" w:rsidRDefault="005B7E91" w:rsidP="0003314F">
      <w:pPr>
        <w:spacing w:line="360" w:lineRule="auto"/>
        <w:jc w:val="both"/>
      </w:pPr>
      <w:bookmarkStart w:id="0" w:name="_GoBack"/>
      <w:bookmarkEnd w:id="0"/>
    </w:p>
    <w:sectPr w:rsidR="005B7E91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nux Libertine O">
    <w:charset w:val="01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B7E91"/>
    <w:rsid w:val="0003314F"/>
    <w:rsid w:val="00274C41"/>
    <w:rsid w:val="002A5604"/>
    <w:rsid w:val="00471118"/>
    <w:rsid w:val="004C656E"/>
    <w:rsid w:val="00582074"/>
    <w:rsid w:val="005B7E91"/>
    <w:rsid w:val="008D3621"/>
    <w:rsid w:val="00A035CB"/>
    <w:rsid w:val="00A16606"/>
    <w:rsid w:val="00B63870"/>
    <w:rsid w:val="00B8095D"/>
    <w:rsid w:val="00BB701F"/>
    <w:rsid w:val="00BC6037"/>
    <w:rsid w:val="00C22870"/>
    <w:rsid w:val="00CF1DE4"/>
    <w:rsid w:val="00EB5331"/>
    <w:rsid w:val="00E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694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73C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TNormalCar">
    <w:name w:val="AT Normal Car"/>
    <w:basedOn w:val="Carpredefinitoparagrafo"/>
    <w:link w:val="ATNormal"/>
    <w:uiPriority w:val="99"/>
    <w:rsid w:val="00D9273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481E"/>
    <w:rPr>
      <w:sz w:val="20"/>
      <w:szCs w:val="20"/>
    </w:rPr>
  </w:style>
  <w:style w:type="character" w:styleId="Rimandonotaapidipagina">
    <w:name w:val="footnote reference"/>
    <w:uiPriority w:val="99"/>
    <w:rsid w:val="00F30D40"/>
    <w:rPr>
      <w:vertAlign w:val="superscript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ascii="Linux Libertine O" w:hAnsi="Linux Libertine O"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Linux Libertine O" w:hAnsi="Linux Libertine O" w:cs="Free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ascii="Linux Libertine O" w:hAnsi="Linux Libertine O" w:cs="FreeSans"/>
    </w:rPr>
  </w:style>
  <w:style w:type="paragraph" w:customStyle="1" w:styleId="ATNormal">
    <w:name w:val="AT Normal"/>
    <w:link w:val="ATNormalCar"/>
    <w:autoRedefine/>
    <w:uiPriority w:val="99"/>
    <w:rsid w:val="00D9273C"/>
    <w:pPr>
      <w:widowControl w:val="0"/>
      <w:suppressAutoHyphens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481E"/>
  </w:style>
  <w:style w:type="paragraph" w:styleId="Nessunaspaziatura">
    <w:name w:val="No Spacing"/>
    <w:uiPriority w:val="1"/>
    <w:qFormat/>
    <w:rsid w:val="0088747D"/>
    <w:pPr>
      <w:suppressAutoHyphens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1163</Words>
  <Characters>6632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Turowski Andrzej</dc:creator>
  <cp:lastModifiedBy>Utente di Microsoft Office</cp:lastModifiedBy>
  <cp:revision>21</cp:revision>
  <dcterms:created xsi:type="dcterms:W3CDTF">2018-10-31T07:25:00Z</dcterms:created>
  <dcterms:modified xsi:type="dcterms:W3CDTF">2018-11-07T17:07:00Z</dcterms:modified>
  <dc:language>it-IT</dc:language>
</cp:coreProperties>
</file>